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ООО «Димео»</w:t>
      </w:r>
      <w:r/>
    </w:p>
    <w:p>
      <w:pPr>
        <w:pStyle w:val="800"/>
        <w:jc w:val="center"/>
      </w:pPr>
      <w:r/>
      <w:r/>
    </w:p>
    <w:p>
      <w:pPr>
        <w:pStyle w:val="800"/>
        <w:jc w:val="center"/>
      </w:pPr>
      <w:r/>
      <w:r/>
    </w:p>
    <w:p>
      <w:pPr>
        <w:pStyle w:val="800"/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00"/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800"/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Программное обеспечение </w:t>
        <w:br/>
        <w:t xml:space="preserve">«Димео. Подписка» </w:t>
        <w:br/>
        <w:t xml:space="preserve">(</w:t>
      </w:r>
      <w:r>
        <w:rPr>
          <w:b/>
          <w:bCs/>
          <w:sz w:val="32"/>
          <w:szCs w:val="32"/>
        </w:rPr>
        <w:t xml:space="preserve">версия 1.22)</w:t>
      </w:r>
      <w:r>
        <w:rPr>
          <w:b/>
          <w:bCs/>
        </w:rPr>
      </w:r>
      <w:r/>
    </w:p>
    <w:p>
      <w:pPr>
        <w:pStyle w:val="80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</w:rPr>
      </w:r>
      <w:r/>
    </w:p>
    <w:p>
      <w:pPr>
        <w:pStyle w:val="80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</w:rPr>
      </w:r>
      <w:r/>
    </w:p>
    <w:p>
      <w:pPr>
        <w:pStyle w:val="80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</w:rPr>
      </w:r>
      <w:r/>
    </w:p>
    <w:p>
      <w:pPr>
        <w:pStyle w:val="80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</w:rPr>
      </w:r>
      <w:r/>
    </w:p>
    <w:p>
      <w:pPr>
        <w:pStyle w:val="800"/>
        <w:jc w:val="lef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/>
    </w:p>
    <w:p>
      <w:pPr>
        <w:pStyle w:val="800"/>
        <w:jc w:val="lef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/>
    </w:p>
    <w:p>
      <w:pPr>
        <w:pStyle w:val="80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Интеграция с внешними сервисами</w:t>
      </w:r>
      <w:r>
        <w:rPr>
          <w:b/>
          <w:bCs/>
        </w:rPr>
      </w:r>
      <w:r/>
    </w:p>
    <w:p>
      <w:pPr>
        <w:pStyle w:val="800"/>
        <w:shd w:val="nil" w:color="000000"/>
      </w:pPr>
      <w:r/>
      <w:r/>
    </w:p>
    <w:p>
      <w:pPr>
        <w:pStyle w:val="800"/>
        <w:shd w:val="nil" w:color="000000"/>
      </w:pPr>
      <w:r/>
      <w:r/>
    </w:p>
    <w:p>
      <w:pPr>
        <w:pStyle w:val="800"/>
        <w:shd w:val="nil" w:color="000000"/>
      </w:pPr>
      <w:r/>
      <w:r/>
    </w:p>
    <w:p>
      <w:pPr>
        <w:pStyle w:val="800"/>
        <w:shd w:val="nil" w:color="000000"/>
      </w:pPr>
      <w:r/>
      <w:r/>
    </w:p>
    <w:p>
      <w:pPr>
        <w:pStyle w:val="800"/>
        <w:shd w:val="nil" w:color="000000"/>
      </w:pPr>
      <w:r/>
      <w:r/>
    </w:p>
    <w:p>
      <w:pPr>
        <w:pStyle w:val="800"/>
        <w:shd w:val="nil" w:color="000000"/>
      </w:pPr>
      <w:r/>
      <w:r/>
    </w:p>
    <w:p>
      <w:pPr>
        <w:pStyle w:val="800"/>
        <w:shd w:val="nil" w:color="000000"/>
      </w:pPr>
      <w:r/>
      <w:r/>
    </w:p>
    <w:p>
      <w:pPr>
        <w:pStyle w:val="800"/>
        <w:shd w:val="nil" w:color="000000"/>
      </w:pPr>
      <w:r/>
      <w:r/>
    </w:p>
    <w:p>
      <w:pPr>
        <w:pStyle w:val="800"/>
        <w:jc w:val="center"/>
        <w:shd w:val="nil" w:color="000000"/>
      </w:pPr>
      <w:r/>
      <w:r/>
    </w:p>
    <w:p>
      <w:pPr>
        <w:pStyle w:val="800"/>
        <w:jc w:val="center"/>
        <w:shd w:val="nil" w:color="000000"/>
      </w:pPr>
      <w:r/>
      <w:r/>
    </w:p>
    <w:p>
      <w:pPr>
        <w:pStyle w:val="800"/>
        <w:jc w:val="center"/>
        <w:shd w:val="nil" w:color="000000"/>
      </w:pPr>
      <w:r/>
      <w:r/>
    </w:p>
    <w:p>
      <w:pPr>
        <w:pStyle w:val="800"/>
        <w:jc w:val="center"/>
        <w:shd w:val="nil" w:color="000000"/>
      </w:pPr>
      <w:r/>
      <w:r/>
    </w:p>
    <w:p>
      <w:pPr>
        <w:pStyle w:val="800"/>
        <w:jc w:val="center"/>
        <w:shd w:val="nil" w:color="000000"/>
      </w:pPr>
      <w:r/>
      <w:r/>
    </w:p>
    <w:p>
      <w:pPr>
        <w:pStyle w:val="800"/>
        <w:jc w:val="center"/>
        <w:shd w:val="nil" w:color="000000"/>
      </w:pPr>
      <w:r/>
      <w:r/>
    </w:p>
    <w:p>
      <w:pPr>
        <w:pStyle w:val="800"/>
        <w:jc w:val="center"/>
        <w:shd w:val="nil" w:color="000000"/>
      </w:pPr>
      <w:r/>
      <w:r/>
    </w:p>
    <w:p>
      <w:pPr>
        <w:pStyle w:val="800"/>
        <w:jc w:val="center"/>
        <w:shd w:val="nil" w:color="000000"/>
      </w:pPr>
      <w:r/>
      <w:r/>
    </w:p>
    <w:p>
      <w:pPr>
        <w:pStyle w:val="800"/>
        <w:jc w:val="center"/>
        <w:shd w:val="nil" w:color="000000"/>
      </w:pPr>
      <w:r/>
      <w:r/>
    </w:p>
    <w:p>
      <w:pPr>
        <w:pStyle w:val="800"/>
        <w:jc w:val="center"/>
        <w:shd w:val="nil" w:color="000000"/>
      </w:pPr>
      <w:r/>
      <w:r/>
    </w:p>
    <w:p>
      <w:pPr>
        <w:pStyle w:val="800"/>
        <w:jc w:val="center"/>
        <w:shd w:val="nil" w:color="000000"/>
      </w:pPr>
      <w:r/>
      <w:r/>
    </w:p>
    <w:p>
      <w:pPr>
        <w:pStyle w:val="800"/>
        <w:jc w:val="center"/>
        <w:shd w:val="nil" w:color="000000"/>
      </w:pPr>
      <w:r/>
      <w:r/>
    </w:p>
    <w:p>
      <w:pPr>
        <w:pStyle w:val="800"/>
        <w:jc w:val="center"/>
        <w:shd w:val="nil" w:color="000000"/>
      </w:pPr>
      <w:r/>
      <w:r/>
    </w:p>
    <w:p>
      <w:pPr>
        <w:pStyle w:val="800"/>
        <w:jc w:val="center"/>
        <w:shd w:val="nil" w:color="000000"/>
      </w:pPr>
      <w:r/>
      <w:r/>
    </w:p>
    <w:p>
      <w:pPr>
        <w:pStyle w:val="800"/>
        <w:jc w:val="center"/>
        <w:shd w:val="nil" w:color="000000"/>
      </w:pPr>
      <w:r/>
      <w:r/>
    </w:p>
    <w:p>
      <w:pPr>
        <w:pStyle w:val="800"/>
        <w:jc w:val="center"/>
        <w:shd w:val="nil" w:color="000000"/>
      </w:pPr>
      <w:r/>
      <w:r/>
    </w:p>
    <w:p>
      <w:pPr>
        <w:pStyle w:val="800"/>
        <w:jc w:val="center"/>
        <w:shd w:val="nil" w:color="000000"/>
      </w:pPr>
      <w:r/>
      <w:r/>
    </w:p>
    <w:p>
      <w:pPr>
        <w:pStyle w:val="800"/>
        <w:jc w:val="center"/>
        <w:shd w:val="nil" w:color="000000"/>
      </w:pPr>
      <w:r/>
      <w:r/>
    </w:p>
    <w:p>
      <w:pPr>
        <w:pStyle w:val="800"/>
        <w:jc w:val="center"/>
        <w:shd w:val="nil" w:color="000000"/>
      </w:pPr>
      <w:r/>
      <w:r/>
    </w:p>
    <w:p>
      <w:pPr>
        <w:pStyle w:val="800"/>
        <w:jc w:val="center"/>
        <w:shd w:val="nil" w:color="000000"/>
      </w:pPr>
      <w:r/>
      <w:r/>
    </w:p>
    <w:p>
      <w:pPr>
        <w:pStyle w:val="800"/>
        <w:jc w:val="center"/>
        <w:shd w:val="nil" w:color="000000"/>
      </w:pPr>
      <w:r/>
      <w:r/>
    </w:p>
    <w:p>
      <w:pPr>
        <w:pStyle w:val="800"/>
        <w:jc w:val="left"/>
        <w:shd w:val="nil" w:color="000000"/>
      </w:pPr>
      <w:r/>
      <w:r/>
    </w:p>
    <w:p>
      <w:pPr>
        <w:pStyle w:val="800"/>
        <w:jc w:val="center"/>
        <w:shd w:val="nil" w:color="000000"/>
      </w:pPr>
      <w:r/>
      <w:r/>
    </w:p>
    <w:p>
      <w:pPr>
        <w:pStyle w:val="800"/>
        <w:jc w:val="center"/>
      </w:pPr>
      <w:r>
        <w:rPr>
          <w:sz w:val="32"/>
          <w:szCs w:val="32"/>
          <w:lang w:val="ru-RU"/>
        </w:rPr>
        <w:t xml:space="preserve">Москва, 2022</w:t>
      </w:r>
      <w:r>
        <w:br w:type="page" w:clear="all"/>
      </w:r>
      <w:r/>
    </w:p>
    <w:p>
      <w:pPr>
        <w:pStyle w:val="800"/>
        <w:ind w:left="0" w:right="0" w:firstLine="0"/>
        <w:spacing w:before="240" w:after="0" w:line="57" w:lineRule="atLeas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Преднастроенный по заявке нового Издателя сервис на основе программного обеспечения  «Димео.Подписка 1.22»  предоставляет базовые возможности организации редакционной подписки и обслуживания подписчиков, но уровень автоматизации вашей работы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будет гораздо выше, если настроить интеграцию с почтовым сервером, системой приема онлайн-платежей, бухгалтерской программой вашей организации, другими дополнительными компонентами. Это можно сделать самостоятельно, либо заказать эти услуги в ООО «Димео».</w:t>
      </w:r>
      <w:r/>
    </w:p>
    <w:p>
      <w:pPr>
        <w:pStyle w:val="800"/>
        <w:jc w:val="left"/>
      </w:pPr>
      <w:r>
        <w:rPr>
          <w:lang w:val="ru-RU"/>
        </w:rPr>
        <w:t xml:space="preserve">В данном документе наряду с официальным названием ПО «Димео.Подписка» используется альтернативное (рабочее) название </w:t>
      </w:r>
      <w:r>
        <w:rPr>
          <w:lang w:val="en-US"/>
        </w:rPr>
        <w:t xml:space="preserve">NX2.</w:t>
      </w:r>
      <w:r/>
    </w:p>
    <w:p>
      <w:pPr>
        <w:pStyle w:val="800"/>
        <w:jc w:val="left"/>
      </w:pPr>
      <w:r/>
      <w:r/>
    </w:p>
    <w:p>
      <w:pPr>
        <w:pStyle w:val="800"/>
        <w:jc w:val="left"/>
      </w:pPr>
      <w:r>
        <w:rPr>
          <w:b/>
          <w:bCs/>
        </w:rPr>
        <w:t xml:space="preserve">1.  Подключение почтового сервера</w:t>
      </w:r>
      <w:r/>
    </w:p>
    <w:p>
      <w:pPr>
        <w:pStyle w:val="800"/>
        <w:ind w:left="0" w:right="0" w:firstLine="0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Самый доступный способ настройки отправки email-сообщений </w:t>
      </w:r>
      <w:r>
        <w:t xml:space="preserve">—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подключение обычного почтового аккаунта, например, таких популярных провайдеров электронной почты, как yandex.ru, mail.ru и т. п.</w:t>
      </w:r>
      <w:r/>
    </w:p>
    <w:p>
      <w:pPr>
        <w:pStyle w:val="800"/>
        <w:ind w:left="0" w:right="0" w:firstLine="0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Интерфейс для подключения и проверки соединения с почтовым сервером доступен в разделе «Настройки» Панели издателя (пункт меню «Отправка почты»). Раздел доступен пользователям в роли Руководитель или Разработчик. </w:t>
      </w:r>
      <w:r/>
    </w:p>
    <w:p>
      <w:pPr>
        <w:pStyle w:val="800"/>
        <w:ind w:left="0" w:right="0" w:firstLine="0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поле «Адрес почтового сервера» </w:t>
      </w:r>
      <w:r>
        <w:t xml:space="preserve">—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указывается сервер исходящей почты (SMTP-сервер) провайдера; как правило, принимает значение наподобие smtp.yandex.ru или smtp.mail.ru. Корректные настройки можно уточнить в службе поддержки выбранного почтового сервиса. «Порт» </w:t>
      </w:r>
      <w:r>
        <w:t xml:space="preserve">—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чаще всего используется 465. «Имя пользователя» – то, что было использовано при регистрации почты. «П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ароль» формируется в соответствии с правилами конкретного почтового сервиса; например, для «Яндекса» используется ключ приложения, созданный в соответствии с инструкцией (см. https://yandex.ru/support/id/authorization/app-passwords.html). «Тип шифрования» </w:t>
      </w:r>
      <w:r>
        <w:t xml:space="preserve">—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SSL. В поле «Адрес отправителя» укажите свой email-адрес, от имени которого будут отправляться письма и на который вам будут отвечать подписчики.</w:t>
      </w:r>
      <w:r/>
    </w:p>
    <w:p>
      <w:pPr>
        <w:pStyle w:val="800"/>
        <w:ind w:left="0" w:right="0" w:firstLine="0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Кроме того, не забудьте сгенерировать уникальную секретную строку для токена авторизации (пункт меню «Токен») для безопасных коммуникаций между Панелью заказов и Панелью издателя.</w:t>
      </w:r>
      <w:r/>
    </w:p>
    <w:p>
      <w:pPr>
        <w:pStyle w:val="800"/>
        <w:jc w:val="left"/>
      </w:pPr>
      <w:r/>
      <w:r/>
    </w:p>
    <w:p>
      <w:pPr>
        <w:pStyle w:val="800"/>
        <w:jc w:val="left"/>
      </w:pPr>
      <w:r/>
      <w:r/>
    </w:p>
    <w:p>
      <w:pPr>
        <w:pStyle w:val="800"/>
        <w:jc w:val="lef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635</wp:posOffset>
                </wp:positionV>
                <wp:extent cx="4502785" cy="3091815"/>
                <wp:effectExtent l="0" t="0" r="0" b="0"/>
                <wp:wrapTopAndBottom/>
                <wp:docPr id="1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502785" cy="3091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so-position-horizontal:left;mso-position-vertical-relative:text;margin-top:0.0pt;mso-position-vertical:absolute;width:354.5pt;height:243.4pt;mso-wrap-distance-left:0.0pt;mso-wrap-distance-top:0.0pt;mso-wrap-distance-right:0.0pt;mso-wrap-distance-bottom:0.0pt;" stroked="false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t xml:space="preserve">Р</w:t>
      </w:r>
      <w:r>
        <w:t xml:space="preserve">ис. 1. Настройка отправки email-сообщений</w:t>
      </w:r>
      <w:r/>
    </w:p>
    <w:p>
      <w:pPr>
        <w:pStyle w:val="800"/>
        <w:ind w:left="0" w:right="0" w:firstLine="0"/>
        <w:spacing w:before="240" w:after="0" w:line="57" w:lineRule="atLeast"/>
        <w:rPr>
          <w:b/>
          <w:bCs/>
        </w:rPr>
      </w:pPr>
      <w:r>
        <w:rPr>
          <w:b/>
          <w:bCs/>
        </w:rPr>
        <w:t xml:space="preserve">2.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</w:rPr>
        <w:t xml:space="preserve">Подключение системы приема онлайн-платежей</w:t>
      </w:r>
      <w:r/>
    </w:p>
    <w:p>
      <w:pPr>
        <w:pStyle w:val="800"/>
        <w:ind w:left="0" w:right="0" w:firstLine="0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Для организации приема онлайн-платежей рекомендуем воспользоваться решением «Юкасса», популярным платёжным инстру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ментом для интернет-магазинов и онлайн-сервисов. Необходимо самостоятельно предварительно зарегистрироваться в «Юкасса» (см. инструкцию https://yookassa.ru/connection). В процессе регистрации необходимо выбрать способ подключения к «Юкасса» «Протокол API».</w:t>
      </w:r>
      <w:r/>
    </w:p>
    <w:p>
      <w:pPr>
        <w:pStyle w:val="800"/>
        <w:ind w:left="0" w:right="0" w:firstLine="0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После успешной регистрации вашего магазина в «Юкасса» необходимо произвести его настройку для взаимодействия с «Димео.Подписка», а также указать соответствующие настройки в Панели издателя в разделе «Платежные системы».</w:t>
      </w:r>
      <w:r/>
    </w:p>
    <w:p>
      <w:pPr>
        <w:pStyle w:val="800"/>
        <w:ind w:left="0" w:right="0" w:firstLine="0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личном кабинете «Юкасса» в разделе «Интеграция» –&gt; «Ключи API» требуется выпустить секретный ключ, а в разделе «Интеграция» –&gt; «HTTP-уведомления» указать URL для уведомлений https://nx2-api.dimeo.ru/pay/ya_api/checkorder и включить уведомления для pay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ment.succeeded и payment.waiting_for_capture. Обратите внимание, что сгенерированный ключ API сразу после его создания необходимо скопировать, так как позже это сделать будет уже невозможно. Это минимально необходимые настройки в личном кабинете «Юкасса». </w:t>
      </w:r>
      <w:r/>
    </w:p>
    <w:p>
      <w:pPr>
        <w:pStyle w:val="800"/>
        <w:ind w:left="0" w:right="0" w:firstLine="0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Панели издателя в разделе «Платежные 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истемы» добавьте новую платежную систему. В открывшемся окне в выпадающем списке выберите YooKassaApi, в поле «Параметр 1(id магазина)» укажите значение shopId из личного кабинета «Юкасса», а в поле «Параметр3(секретное слово)» укажите секретный ключ API. </w:t>
      </w:r>
      <w:r/>
    </w:p>
    <w:p>
      <w:pPr>
        <w:pStyle w:val="800"/>
        <w:ind w:left="0" w:right="0" w:firstLine="0"/>
        <w:spacing w:before="240" w:after="0" w:line="57" w:lineRule="atLeast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Сервис «Юкасса» для целей тестирования предлагает функционал тестового магазина, который позволяет проверить работоспособность интеграции без реальной оплаты. Рекомендуем использовать этот механизм. Для этой цели в Панели издателя предусмотре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на платежная система YooKassaApiTest. Настройте взаимодействие вашего тестового магазина «Юкасса» с Панелью издателя по аналогии с описанным выше. Такая настройка позволит имитировать оплату заказов, выбирая в подписной форме соответствующий способ оплаты.</w:t>
      </w:r>
      <w:r/>
    </w:p>
    <w:p>
      <w:pPr>
        <w:pStyle w:val="800"/>
        <w:ind w:left="0" w:right="0" w:firstLine="0"/>
        <w:spacing w:before="240" w:after="0" w:line="57" w:lineRule="atLeas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00"/>
        <w:ind w:left="0" w:right="0" w:firstLine="0"/>
        <w:spacing w:before="240" w:after="0" w:line="57" w:lineRule="atLeast"/>
        <w:rPr>
          <w:rFonts w:ascii="Times New Roman" w:hAnsi="Times New Roman" w:eastAsia="Times New Roman" w:cs="Times New Roman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635</wp:posOffset>
                </wp:positionV>
                <wp:extent cx="4086860" cy="3742055"/>
                <wp:effectExtent l="0" t="0" r="0" b="0"/>
                <wp:wrapTopAndBottom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86860" cy="3742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3;o:allowoverlap:true;o:allowincell:true;mso-position-horizontal-relative:text;mso-position-horizontal:left;mso-position-vertical-relative:text;margin-top:0.0pt;mso-position-vertical:absolute;width:321.8pt;height:294.6pt;mso-wrap-distance-left:0.0pt;mso-wrap-distance-top:0.0pt;mso-wrap-distance-right:0.0pt;mso-wrap-distance-bottom:0.0pt;" stroked="false">
                <v:path textboxrect="0,0,0,0"/>
                <w10:wrap type="topAndBottom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Рис.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Подключение тестового магазина YooKassaApiTest</w:t>
      </w:r>
      <w:r/>
    </w:p>
    <w:p>
      <w:pPr>
        <w:pStyle w:val="800"/>
        <w:jc w:val="left"/>
      </w:pPr>
      <w:r/>
      <w:r/>
    </w:p>
    <w:p>
      <w:pPr>
        <w:pStyle w:val="800"/>
        <w:jc w:val="left"/>
        <w:rPr>
          <w:b/>
          <w:bCs/>
        </w:rPr>
      </w:pPr>
      <w:r>
        <w:rPr>
          <w:b/>
          <w:bCs/>
        </w:rPr>
        <w:t xml:space="preserve">3. Интеграция с бухгалтерской программой организации</w:t>
      </w:r>
      <w:r/>
    </w:p>
    <w:p>
      <w:pPr>
        <w:pStyle w:val="800"/>
        <w:jc w:val="left"/>
      </w:pPr>
      <w:r/>
      <w:r/>
    </w:p>
    <w:p>
      <w:pPr>
        <w:pStyle w:val="800"/>
        <w:jc w:val="left"/>
      </w:pPr>
      <w:r>
        <w:t xml:space="preserve">Интеграцию с бухгалтерской программой</w:t>
      </w:r>
      <w:r>
        <w:t xml:space="preserve"> 1С также можно сделать самостоятельно, однако обмен данными будет успешным только в том случае, если его реализация будет выполнена силами опытных 1С-программистов; </w:t>
      </w:r>
      <w:r>
        <w:rPr>
          <w:lang w:val="ru-RU"/>
        </w:rPr>
        <w:t xml:space="preserve">без должных знаний и навыков работы с конкретной конфигурацией бухгалтерской программы, используемой в вашей организации,  выполнить качественную интеграцию будет сложно</w:t>
      </w:r>
      <w:r>
        <w:t xml:space="preserve">.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Используемая платформа </w:t>
      </w:r>
      <w:r>
        <w:t xml:space="preserve">—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 не ниже «1С: Предприятие 8.1».</w:t>
      </w:r>
      <w:r/>
    </w:p>
    <w:p>
      <w:pPr>
        <w:pStyle w:val="800"/>
        <w:ind w:left="0" w:right="0" w:firstLine="0"/>
        <w:spacing w:before="240" w:after="0" w:line="57" w:lineRule="atLeast"/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Взаимодействие NX2 и бухгалтерской программы «1С» осуществляется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через SOAP-сервис, стандартное для «1С» средство обмена через веб-интерфейс с внешними сервисами. SOAP-сервис настраивается на стороне «1С» посредством обмена сообщениями оговоренного формата. Взаимодействие NX2 с «1С» состоит из нескольких видов операций.</w:t>
      </w:r>
      <w:r/>
    </w:p>
    <w:p>
      <w:pPr>
        <w:pStyle w:val="800"/>
        <w:ind w:left="0" w:right="0" w:firstLine="0"/>
        <w:spacing w:before="240" w:after="0" w:line="57" w:lineRule="atLeast"/>
      </w:pPr>
      <w:r>
        <w:rPr>
          <w:rFonts w:ascii="Liberation Serif" w:hAnsi="Liberation Serif" w:eastAsia="Liberation Serif" w:cs="Liberation Serif"/>
          <w:i/>
          <w:color w:val="000000"/>
          <w:sz w:val="24"/>
        </w:rPr>
        <w:t xml:space="preserve">1) «Платежи онлайн».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 После оплаты клиентом своего заказа при помощи электронного платежа соответствующая платежна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я система оповещает про успешную оплату, статус заказа изменяется на «оплачено», создается запись в таблице «Платежи», изменяется статус транзакции, «1С» оповещается о платеже, в результате чего в бухгалтерской программе создается соответствующая проводка.</w:t>
      </w:r>
      <w:r/>
    </w:p>
    <w:p>
      <w:pPr>
        <w:pStyle w:val="800"/>
        <w:ind w:left="0" w:right="0" w:firstLine="0"/>
        <w:spacing w:before="240" w:after="0" w:line="57" w:lineRule="atLeast"/>
      </w:pPr>
      <w:r>
        <w:rPr>
          <w:rFonts w:ascii="Liberation Serif" w:hAnsi="Liberation Serif" w:eastAsia="Liberation Serif" w:cs="Liberation Serif"/>
          <w:i/>
          <w:color w:val="000000"/>
          <w:sz w:val="24"/>
        </w:rPr>
        <w:t xml:space="preserve">2) «Платежи банк».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После оплаты клиентом заказа через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банк (например, по распечатанной из подписной формы квитанции) деньги поступают на банковский счет. После взаимодействия «клиент-банк» об этом узнает бухгалтерская программа. Далее бухгалтер в ручном режиме отфильтровывает платежи, касающиеся оплаты заказо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в и инициирует отправку этой информации из «1С» в сервис NX2. На стороне NX2 эта информация дополняется данными про номер заказа для каждого платежа, проверяется, после чего инициируется ответная отправка данных в «1С», где формируются корректные проводки.</w:t>
      </w:r>
      <w:r/>
    </w:p>
    <w:p>
      <w:pPr>
        <w:pStyle w:val="800"/>
        <w:ind w:left="0" w:right="0" w:firstLine="0"/>
        <w:spacing w:before="240" w:after="0" w:line="57" w:lineRule="atLeast"/>
      </w:pPr>
      <w:r>
        <w:rPr>
          <w:rFonts w:ascii="Liberation Serif" w:hAnsi="Liberation Serif" w:eastAsia="Liberation Serif" w:cs="Liberation Serif"/>
          <w:i/>
          <w:color w:val="000000"/>
          <w:sz w:val="24"/>
        </w:rPr>
        <w:t xml:space="preserve">3) «Синхронизация информации о контрагенте».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 Перечень клиент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ов-юрлиц имеется как в «1С»,так и в сервисе NX2. Требуется, чтобы оба этих списка были согласованы (синхронизированы). Данные о каждом отдельно взятом юрлице могут время от времени изменяться (корректироваться). Это может произойти как в «1С», так и в NX2.</w:t>
      </w:r>
      <w:r/>
    </w:p>
    <w:p>
      <w:pPr>
        <w:pStyle w:val="800"/>
        <w:ind w:left="0" w:right="0" w:firstLine="0"/>
        <w:spacing w:before="240" w:after="0" w:line="57" w:lineRule="atLeast"/>
      </w:pPr>
      <w:r>
        <w:rPr>
          <w:rFonts w:ascii="Liberation Serif" w:hAnsi="Liberation Serif" w:eastAsia="Liberation Serif" w:cs="Liberation Serif"/>
          <w:i/>
          <w:color w:val="000000"/>
          <w:sz w:val="24"/>
        </w:rPr>
        <w:t xml:space="preserve">4) «Сопроводительные документы на товар»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. Взаимодействие с клиентами-юрлицами требует передачи им вместе с экземпляром очередного вып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уска печатного издания еще и акта выполненных работ, накладной и, возможно, других документов. Все документы формируются и хранятся в бухгалтерской программе и предоставляются сервису NX2 по запросу от него. Такие запросы инициируются при отгрузке издания.</w:t>
      </w:r>
      <w:r/>
    </w:p>
    <w:p>
      <w:pPr>
        <w:pStyle w:val="800"/>
        <w:ind w:left="0" w:right="0" w:firstLine="0"/>
        <w:spacing w:before="240" w:after="0" w:line="57" w:lineRule="atLeast"/>
      </w:pPr>
      <w:r>
        <w:rPr>
          <w:rFonts w:ascii="Liberation Serif" w:hAnsi="Liberation Serif" w:eastAsia="Liberation Serif" w:cs="Liberation Serif"/>
          <w:i/>
          <w:color w:val="000000"/>
          <w:sz w:val="24"/>
        </w:rPr>
        <w:t xml:space="preserve">5) «Сопроводительные документы на услугу». 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Особый случай — заказ от имени юрлица на подписку в цифровом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 виде. Подписчик производит единоразовую оплату за определенное количество номеров издания, а затем с определенной периодичностью получает по электронной почте PDF-файл очередного выпуска издания. В результате такого заказа клиент после оплаты должен получ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ить от издателя договор и акт выполненных работ на оплаченную сумму. Эти документы формируются и хранятся в бухгалтерской программе и предоставляются в сервис подписки по запросу от него. Документы распечатываются и отправляются в адрес клиента однократно.</w:t>
      </w:r>
      <w:r/>
    </w:p>
    <w:p>
      <w:pPr>
        <w:pStyle w:val="800"/>
        <w:ind w:left="0" w:right="0" w:firstLine="0"/>
        <w:spacing w:before="240" w:after="0" w:line="57" w:lineRule="atLeast"/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В соо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тветствии с этим набором операций должна быть настроена бухгалтерская программа «1С». В результате такой настройки формируется файл метаданных, описывающий, какие данные «1С» посредством веб-сервиса передает внешним программам и какие запросы обслуживает.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URL-адрес, по которому будет размещен веб-сервис для связи бухгалтерской программы издателя и платформы подписки, заносится в соответствующее поле в разделе «Настройки» Панели издателя.</w:t>
      </w:r>
      <w:r/>
    </w:p>
    <w:p>
      <w:pPr>
        <w:pStyle w:val="800"/>
        <w:ind w:left="0" w:right="0" w:firstLine="0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Реализация взаимодействия между «1С» и NX2 обеспечивает:</w:t>
      </w:r>
      <w:r/>
    </w:p>
    <w:p>
      <w:pPr>
        <w:pStyle w:val="800"/>
        <w:ind w:left="0" w:right="0" w:firstLine="0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получение из «1С» данных банковских выписок по поступлению денежных средств от клиентов; выписка фильтруется вручную в интерфейсе «1С»;</w:t>
      </w:r>
      <w:r/>
    </w:p>
    <w:p>
      <w:pPr>
        <w:pStyle w:val="800"/>
        <w:ind w:left="0" w:right="0" w:firstLine="0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получение «1С» данных НДС по выпискам из NX2; после обработки выписок в NX2 в «1С» передается информация по каждой строке выписки о долях сумм, облагаемых ставками НДС;</w:t>
      </w:r>
      <w:r/>
    </w:p>
    <w:p>
      <w:pPr>
        <w:pStyle w:val="800"/>
        <w:ind w:left="0" w:right="0" w:firstLine="0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создание документов по реализации товара в «1С» по запросу NX2; документы для контрагента запрашиваются в виде PDF-файла; в числе запрашиваемых документов: счет, товарная накладная или акт об оказании услуг, счет-фактура;</w:t>
      </w:r>
      <w:r/>
    </w:p>
    <w:p>
      <w:pPr>
        <w:pStyle w:val="800"/>
        <w:ind w:left="0" w:right="0" w:firstLine="0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создание в «1С» по запросу NX2 документов оплаты через платежную систему;</w:t>
      </w:r>
      <w:r/>
    </w:p>
    <w:p>
      <w:pPr>
        <w:pStyle w:val="800"/>
        <w:ind w:left="0" w:right="0" w:firstLine="0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 синхронизация справочников «1С» и NX2, включая справочники организаций (по кодам систем), контрагентов (по ИНН и КПП), номенклатуры (по наименованию и кодам систем).</w:t>
      </w:r>
      <w:r/>
    </w:p>
    <w:p>
      <w:pPr>
        <w:pStyle w:val="800"/>
        <w:ind w:left="0" w:right="0" w:firstLine="0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Передача данных от «1С» по банковским выпискам:</w:t>
      </w:r>
      <w:r/>
    </w:p>
    <w:p>
      <w:pPr>
        <w:pStyle w:val="800"/>
        <w:ind w:left="0" w:right="0" w:firstLine="709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Таблица</w:t>
      </w:r>
      <w:r/>
    </w:p>
    <w:p>
      <w:pPr>
        <w:pStyle w:val="800"/>
        <w:ind w:left="709" w:right="0" w:firstLine="709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◦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номер документа в кодировке «1С»</w:t>
      </w:r>
      <w:r/>
    </w:p>
    <w:p>
      <w:pPr>
        <w:pStyle w:val="800"/>
        <w:ind w:left="709" w:right="0" w:firstLine="709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◦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дата поступления</w:t>
      </w:r>
      <w:r/>
    </w:p>
    <w:p>
      <w:pPr>
        <w:pStyle w:val="800"/>
        <w:ind w:left="709" w:right="0" w:firstLine="709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◦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номер поступления</w:t>
      </w:r>
      <w:r/>
    </w:p>
    <w:p>
      <w:pPr>
        <w:pStyle w:val="800"/>
        <w:ind w:left="709" w:right="0" w:firstLine="709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◦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организация</w:t>
      </w:r>
      <w:r/>
    </w:p>
    <w:p>
      <w:pPr>
        <w:pStyle w:val="800"/>
        <w:ind w:left="709" w:right="0" w:firstLine="709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◦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контрагент</w:t>
      </w:r>
      <w:r/>
    </w:p>
    <w:p>
      <w:pPr>
        <w:pStyle w:val="800"/>
        <w:ind w:left="709" w:right="0" w:firstLine="709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◦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сумма</w:t>
      </w:r>
      <w:r/>
    </w:p>
    <w:p>
      <w:pPr>
        <w:pStyle w:val="800"/>
        <w:ind w:left="709" w:right="0" w:firstLine="709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◦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назначение платежа</w:t>
      </w:r>
      <w:r/>
    </w:p>
    <w:p>
      <w:pPr>
        <w:pStyle w:val="800"/>
        <w:ind w:left="709" w:right="0" w:firstLine="709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◦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дополнительные поля</w:t>
      </w:r>
      <w:r/>
    </w:p>
    <w:p>
      <w:pPr>
        <w:pStyle w:val="800"/>
        <w:ind w:left="0" w:right="0" w:firstLine="0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Передача данных от NX2 по разнесению банковских выписок:</w:t>
      </w:r>
      <w:r/>
    </w:p>
    <w:p>
      <w:pPr>
        <w:pStyle w:val="800"/>
        <w:ind w:left="709" w:right="0" w:firstLine="0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Таблица</w:t>
      </w:r>
      <w:r/>
    </w:p>
    <w:p>
      <w:pPr>
        <w:pStyle w:val="800"/>
        <w:ind w:left="709" w:right="0" w:firstLine="709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◦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номер документа в кодировке «1С»</w:t>
      </w:r>
      <w:r/>
    </w:p>
    <w:p>
      <w:pPr>
        <w:pStyle w:val="800"/>
        <w:ind w:left="709" w:right="0" w:firstLine="709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◦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Таблица</w:t>
      </w:r>
      <w:r/>
    </w:p>
    <w:p>
      <w:pPr>
        <w:pStyle w:val="800"/>
        <w:ind w:left="1418" w:right="0" w:firstLine="709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сумма</w:t>
      </w:r>
      <w:r/>
    </w:p>
    <w:p>
      <w:pPr>
        <w:pStyle w:val="800"/>
        <w:ind w:left="1418" w:right="0" w:firstLine="709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ставка НДС</w:t>
      </w:r>
      <w:r/>
    </w:p>
    <w:p>
      <w:pPr>
        <w:pStyle w:val="800"/>
        <w:ind w:left="0" w:right="0" w:firstLine="0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Запрос от NX2 на создание документов по оплате через платежные системы:</w:t>
      </w:r>
      <w:r/>
    </w:p>
    <w:p>
      <w:pPr>
        <w:pStyle w:val="800"/>
        <w:ind w:left="0" w:right="0" w:firstLine="709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Таблица</w:t>
      </w:r>
      <w:r/>
    </w:p>
    <w:p>
      <w:pPr>
        <w:pStyle w:val="800"/>
        <w:ind w:left="709" w:right="0" w:firstLine="709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◦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организация</w:t>
      </w:r>
      <w:r/>
    </w:p>
    <w:p>
      <w:pPr>
        <w:pStyle w:val="800"/>
        <w:ind w:left="709" w:right="0" w:firstLine="709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◦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эквайер</w:t>
      </w:r>
      <w:r/>
    </w:p>
    <w:p>
      <w:pPr>
        <w:pStyle w:val="800"/>
        <w:ind w:left="709" w:right="0" w:firstLine="709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◦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контрагент</w:t>
      </w:r>
      <w:r/>
    </w:p>
    <w:p>
      <w:pPr>
        <w:pStyle w:val="800"/>
        <w:ind w:left="709" w:right="0" w:firstLine="709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◦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сумма</w:t>
      </w:r>
      <w:r/>
    </w:p>
    <w:p>
      <w:pPr>
        <w:pStyle w:val="800"/>
        <w:ind w:left="0" w:right="0" w:firstLine="0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Запрос от NX2 на создание документов по реализации:</w:t>
      </w:r>
      <w:r/>
    </w:p>
    <w:p>
      <w:pPr>
        <w:pStyle w:val="800"/>
        <w:ind w:left="0" w:right="0" w:firstLine="709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•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Таблица</w:t>
      </w:r>
      <w:r/>
    </w:p>
    <w:p>
      <w:pPr>
        <w:pStyle w:val="800"/>
        <w:ind w:left="709" w:right="0" w:firstLine="709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◦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организация</w:t>
      </w:r>
      <w:r/>
    </w:p>
    <w:p>
      <w:pPr>
        <w:pStyle w:val="800"/>
        <w:ind w:left="709" w:right="0" w:firstLine="709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◦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контрагент</w:t>
      </w:r>
      <w:r/>
    </w:p>
    <w:p>
      <w:pPr>
        <w:pStyle w:val="800"/>
        <w:ind w:left="709" w:right="0" w:firstLine="709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◦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Таблица</w:t>
      </w:r>
      <w:r/>
    </w:p>
    <w:p>
      <w:pPr>
        <w:pStyle w:val="800"/>
        <w:ind w:left="1418" w:right="0" w:firstLine="709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▪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номенклатура</w:t>
      </w:r>
      <w:r/>
    </w:p>
    <w:p>
      <w:pPr>
        <w:pStyle w:val="800"/>
        <w:ind w:left="1418" w:right="0" w:firstLine="709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▪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количество</w:t>
      </w:r>
      <w:r/>
    </w:p>
    <w:p>
      <w:pPr>
        <w:pStyle w:val="800"/>
        <w:ind w:left="1418" w:right="0" w:firstLine="709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▪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цена</w:t>
      </w:r>
      <w:r/>
    </w:p>
    <w:p>
      <w:pPr>
        <w:pStyle w:val="800"/>
        <w:ind w:left="0" w:right="0" w:firstLine="0"/>
        <w:spacing w:before="240" w:after="0" w:line="57" w:lineRule="atLeast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 поступлении запроса в «1С» выполняется проверка на существование запрашиваемых документов, в случае их отсутствия: создаются документы Счет, Реализация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товаров и услуг, Счет-фактура выданный; генерируются PDF-файлы, содержащие: Счет, Товарная накладная (если есть номенклатура, являющаяся товаром), Акт об оказании услуг (если есть номенклатура, являющаяся услугой), Счет-фактура; PDF-файлы передаются в NX2.</w:t>
      </w:r>
      <w:r/>
    </w:p>
    <w:p>
      <w:pPr>
        <w:pStyle w:val="800"/>
        <w:jc w:val="left"/>
      </w:pPr>
      <w:r/>
      <w:r/>
    </w:p>
    <w:p>
      <w:pPr>
        <w:pStyle w:val="800"/>
        <w:jc w:val="left"/>
      </w:pPr>
      <w:r>
        <w:t xml:space="preserve">В системе «1С»должны быть добавлены сведения об организации, настроен складской учет, добавлена номенклатура, введены остатки товаров, настроено использование типового соглашения, создано типовое соглашение.</w:t>
      </w:r>
      <w:r/>
    </w:p>
    <w:p>
      <w:pPr>
        <w:pStyle w:val="800"/>
        <w:jc w:val="left"/>
      </w:pPr>
      <w:r>
        <w:t xml:space="preserve">Также  нужно настроить соединение с сайтом. Для этого в системе «1С» перейти в раздел «Обмен с сайтом», выбрать галочку «Использовать обмен с сайтом», перейти в «Настройки обмена с сайтом» и кликнуть «Создать».</w:t>
      </w:r>
      <w:r/>
    </w:p>
    <w:p>
      <w:pPr>
        <w:pStyle w:val="800"/>
        <w:jc w:val="left"/>
      </w:pPr>
      <w:r>
        <w:t xml:space="preserve">В «1С» скопированные значения вставить в «Адрес сайта», «Имя пользователя», «Пароль» и кликнуть «Проверить соединение». Если настройки произведены верно, то появится сообщение «Соединение с сайтом успешно установлено».</w:t>
      </w:r>
      <w:r/>
    </w:p>
    <w:p>
      <w:pPr>
        <w:pStyle w:val="800"/>
        <w:jc w:val="left"/>
      </w:pPr>
      <w:r>
        <w:t xml:space="preserve">Перейти во вкладку «Выгрузка товаров», выбрать организацию, выбрать «Использовать узел обмена для выгрузки на сайт описания товаров, типов цен, остатков»,</w:t>
      </w:r>
      <w:r>
        <w:t xml:space="preserve"> отметить галочку «Каталог товаров», выбрать иерархию, отметить галочку «Цены по соглашениям и остатки товаров на складах», выбрать склад, затем в таблице каталогов добавить новый элемент, выбрать номенклатуру, в столбце «Отбор» выбрать типовое соглашение.</w:t>
      </w:r>
      <w:r/>
    </w:p>
    <w:p>
      <w:pPr>
        <w:pStyle w:val="800"/>
        <w:jc w:val="left"/>
      </w:pPr>
      <w:r>
        <w:br/>
      </w:r>
      <w:r/>
    </w:p>
    <w:p>
      <w:pPr>
        <w:pStyle w:val="800"/>
        <w:shd w:val="nil" w:color="auto"/>
      </w:pPr>
      <w:r>
        <w:br w:type="page" w:clear="all"/>
      </w:r>
      <w:r/>
    </w:p>
    <w:p>
      <w:pPr>
        <w:pStyle w:val="800"/>
        <w:jc w:val="left"/>
      </w:pPr>
      <w:r/>
      <w:r/>
    </w:p>
    <w:p>
      <w:pPr>
        <w:pStyle w:val="800"/>
        <w:jc w:val="left"/>
      </w:pPr>
      <w:r>
        <w:rPr>
          <w:b/>
          <w:bCs/>
          <w:lang w:val="ru-RU"/>
        </w:rPr>
        <w:t xml:space="preserve">***</w:t>
      </w:r>
      <w:r/>
    </w:p>
    <w:p>
      <w:pPr>
        <w:pStyle w:val="800"/>
        <w:jc w:val="left"/>
      </w:pPr>
      <w:r/>
      <w:r/>
    </w:p>
    <w:p>
      <w:pPr>
        <w:pStyle w:val="800"/>
        <w:jc w:val="left"/>
      </w:pPr>
      <w:r>
        <w:rPr>
          <w:lang w:val="ru-RU"/>
        </w:rPr>
        <w:t xml:space="preserve">Дополнительные сведения о программном обеспечении «Димео.Подписка 1.22» можно найти на сайте </w:t>
      </w:r>
      <w:r>
        <w:rPr>
          <w:lang w:val="en-US"/>
        </w:rPr>
        <w:t xml:space="preserve">dimeo.ru.</w:t>
      </w:r>
      <w:r/>
    </w:p>
    <w:p>
      <w:pPr>
        <w:pStyle w:val="800"/>
        <w:jc w:val="left"/>
      </w:pPr>
      <w:r>
        <w:rPr>
          <w:lang w:val="ru-RU"/>
        </w:rPr>
        <w:t xml:space="preserve">По вопросам приобретения, использования, эксплуатации и модернизации ПО «Димео.Подписка» обращайтесь: </w:t>
      </w:r>
      <w:hyperlink r:id="rId13" w:tooltip="mailto:info@dimeo.ru" w:history="1">
        <w:r>
          <w:rPr>
            <w:rStyle w:val="826"/>
            <w:lang w:val="en-US"/>
          </w:rPr>
          <w:t xml:space="preserve">info@dimeo.ru</w:t>
        </w:r>
      </w:hyperlink>
      <w:r>
        <w:rPr>
          <w:lang w:val="en-US"/>
        </w:rPr>
        <w:t xml:space="preserve">, 8 (499) 350-0047.</w:t>
      </w:r>
      <w:r/>
    </w:p>
    <w:p>
      <w:pPr>
        <w:pStyle w:val="800"/>
        <w:jc w:val="left"/>
      </w:pPr>
      <w:r/>
      <w:r/>
    </w:p>
    <w:p>
      <w:pPr>
        <w:pStyle w:val="800"/>
        <w:jc w:val="left"/>
      </w:pPr>
      <w:r>
        <w:rPr>
          <w:b/>
          <w:bCs/>
          <w:lang w:val="ru-RU"/>
        </w:rPr>
        <w:t xml:space="preserve">***</w:t>
      </w:r>
      <w:r/>
    </w:p>
    <w:p>
      <w:pPr>
        <w:pStyle w:val="800"/>
        <w:jc w:val="left"/>
      </w:pPr>
      <w:r/>
      <w:r/>
    </w:p>
    <w:p>
      <w:pPr>
        <w:pStyle w:val="800"/>
        <w:jc w:val="left"/>
      </w:pPr>
      <w:r>
        <w:t xml:space="preserve">2017-2022 ООО «Димео», </w:t>
      </w:r>
      <w:r>
        <w:rPr>
          <w:lang w:val="en-US"/>
        </w:rPr>
        <w:t xml:space="preserve">CC BY-SA 4.0</w:t>
      </w:r>
      <w:r/>
    </w:p>
    <w:p>
      <w:pPr>
        <w:pStyle w:val="800"/>
        <w:jc w:val="left"/>
        <w:rPr>
          <w:b/>
          <w:bCs/>
        </w:rPr>
      </w:pPr>
      <w:r>
        <w:rPr>
          <w:b/>
          <w:bCs/>
        </w:rPr>
      </w:r>
      <w:r/>
    </w:p>
    <w:p>
      <w:pPr>
        <w:pStyle w:val="800"/>
        <w:jc w:val="left"/>
      </w:pPr>
      <w:r/>
      <w:r/>
    </w:p>
    <w:sectPr>
      <w:headerReference w:type="first" r:id="rId8"/>
      <w:footerReference w:type="default" r:id="rId9"/>
      <w:footerReference w:type="first" r:id="rId10"/>
      <w:footnotePr/>
      <w:endnotePr/>
      <w:type w:val="nextPage"/>
      <w:pgSz w:w="11906" w:h="16838" w:orient="portrait"/>
      <w:pgMar w:top="567" w:right="1134" w:bottom="1134" w:left="1134" w:header="567" w:footer="567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;arial">
    <w:panose1 w:val="020B0604020202020204"/>
  </w:font>
  <w:font w:name="liberation serif;times new roman">
    <w:panose1 w:val="02020603050405020304"/>
  </w:font>
  <w:font w:name="NSimSun">
    <w:panose1 w:val="02020603020101020101"/>
  </w:font>
  <w:font w:name="Arial">
    <w:panose1 w:val="020B0604020202020204"/>
  </w:font>
  <w:font w:name="DejaVu Sans">
    <w:panose1 w:val="020B0603030804020204"/>
  </w:font>
  <w:font w:name="Microsoft YaHei">
    <w:panose1 w:val="020F050202020403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right"/>
    </w:pPr>
    <w:r>
      <w:fldChar w:fldCharType="begin"/>
    </w:r>
    <w:r>
      <w:instrText xml:space="preserve"> PAGE </w:instrText>
    </w:r>
    <w:r>
      <w:fldChar w:fldCharType="separate"/>
    </w:r>
    <w:r>
      <w:t xml:space="preserve">7</w:t>
    </w:r>
    <w:r>
      <w:fldChar w:fldCharType="end"/>
    </w:r>
    <w:r/>
  </w:p>
  <w:p>
    <w:pPr>
      <w:pStyle w:val="84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footnote reference"/>
    <w:basedOn w:val="833"/>
    <w:uiPriority w:val="99"/>
    <w:unhideWhenUsed/>
    <w:rPr>
      <w:vertAlign w:val="superscript"/>
    </w:rPr>
  </w:style>
  <w:style w:type="character" w:styleId="799">
    <w:name w:val="endnote reference"/>
    <w:basedOn w:val="833"/>
    <w:uiPriority w:val="99"/>
    <w:semiHidden/>
    <w:unhideWhenUsed/>
    <w:rPr>
      <w:vertAlign w:val="superscript"/>
    </w:rPr>
  </w:style>
  <w:style w:type="paragraph" w:styleId="800" w:default="1">
    <w:name w:val="Normal"/>
    <w:qFormat/>
    <w:pPr>
      <w:jc w:val="left"/>
      <w:spacing w:before="0" w:after="0"/>
      <w:widowControl/>
    </w:pPr>
    <w:rPr>
      <w:rFonts w:ascii="Liberation Serif;Times New Roman" w:hAnsi="Liberation Serif;Times New Roman" w:eastAsia="NSimSun" w:cs="Arial"/>
      <w:color w:val="auto"/>
      <w:sz w:val="24"/>
      <w:szCs w:val="24"/>
      <w:lang w:val="ru-RU" w:eastAsia="zh-CN" w:bidi="hi-IN"/>
    </w:rPr>
  </w:style>
  <w:style w:type="paragraph" w:styleId="801">
    <w:name w:val="Heading 1"/>
    <w:basedOn w:val="8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02">
    <w:name w:val="Heading 2"/>
    <w:basedOn w:val="8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3">
    <w:name w:val="Heading 3"/>
    <w:basedOn w:val="8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4">
    <w:name w:val="Heading 4"/>
    <w:basedOn w:val="8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5">
    <w:name w:val="Heading 5"/>
    <w:basedOn w:val="8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6">
    <w:name w:val="Heading 6"/>
    <w:basedOn w:val="8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7">
    <w:name w:val="Heading 7"/>
    <w:basedOn w:val="8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8">
    <w:name w:val="Heading 8"/>
    <w:basedOn w:val="8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9">
    <w:name w:val="Heading 9"/>
    <w:basedOn w:val="8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0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11">
    <w:name w:val="Heading 2 Char"/>
    <w:uiPriority w:val="9"/>
    <w:qFormat/>
    <w:rPr>
      <w:rFonts w:ascii="Arial" w:hAnsi="Arial" w:eastAsia="Arial" w:cs="Arial"/>
      <w:sz w:val="34"/>
    </w:rPr>
  </w:style>
  <w:style w:type="character" w:styleId="812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13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4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5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6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7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18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19">
    <w:name w:val="Title Char"/>
    <w:uiPriority w:val="10"/>
    <w:qFormat/>
    <w:rPr>
      <w:sz w:val="48"/>
      <w:szCs w:val="48"/>
    </w:rPr>
  </w:style>
  <w:style w:type="character" w:styleId="820">
    <w:name w:val="Subtitle Char"/>
    <w:uiPriority w:val="11"/>
    <w:qFormat/>
    <w:rPr>
      <w:sz w:val="24"/>
      <w:szCs w:val="24"/>
    </w:rPr>
  </w:style>
  <w:style w:type="character" w:styleId="821">
    <w:name w:val="Quote Char"/>
    <w:uiPriority w:val="29"/>
    <w:qFormat/>
    <w:rPr>
      <w:i/>
    </w:rPr>
  </w:style>
  <w:style w:type="character" w:styleId="822">
    <w:name w:val="Intense Quote Char"/>
    <w:uiPriority w:val="30"/>
    <w:qFormat/>
    <w:rPr>
      <w:i/>
    </w:rPr>
  </w:style>
  <w:style w:type="character" w:styleId="823">
    <w:name w:val="Header Char"/>
    <w:uiPriority w:val="99"/>
    <w:qFormat/>
  </w:style>
  <w:style w:type="character" w:styleId="824">
    <w:name w:val="Footer Char"/>
    <w:uiPriority w:val="99"/>
    <w:qFormat/>
  </w:style>
  <w:style w:type="character" w:styleId="825">
    <w:name w:val="Caption Char"/>
    <w:uiPriority w:val="99"/>
    <w:qFormat/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character" w:styleId="827">
    <w:name w:val="Footnote Text Char"/>
    <w:uiPriority w:val="99"/>
    <w:qFormat/>
    <w:rPr>
      <w:sz w:val="18"/>
    </w:rPr>
  </w:style>
  <w:style w:type="character" w:styleId="828">
    <w:name w:val="Footnote Characters"/>
    <w:uiPriority w:val="99"/>
    <w:unhideWhenUsed/>
    <w:qFormat/>
    <w:rPr>
      <w:vertAlign w:val="superscript"/>
    </w:rPr>
  </w:style>
  <w:style w:type="character" w:styleId="829">
    <w:name w:val="Footnote Anchor"/>
    <w:rPr>
      <w:vertAlign w:val="superscript"/>
    </w:rPr>
  </w:style>
  <w:style w:type="character" w:styleId="830">
    <w:name w:val="Endnote Text Char"/>
    <w:uiPriority w:val="99"/>
    <w:qFormat/>
    <w:rPr>
      <w:sz w:val="20"/>
    </w:rPr>
  </w:style>
  <w:style w:type="character" w:styleId="831">
    <w:name w:val="Endnote Characters"/>
    <w:uiPriority w:val="99"/>
    <w:semiHidden/>
    <w:unhideWhenUsed/>
    <w:qFormat/>
    <w:rPr>
      <w:vertAlign w:val="superscript"/>
    </w:rPr>
  </w:style>
  <w:style w:type="character" w:styleId="832">
    <w:name w:val="Endnote Anchor"/>
    <w:rPr>
      <w:vertAlign w:val="superscript"/>
    </w:rPr>
  </w:style>
  <w:style w:type="character" w:styleId="833" w:default="1">
    <w:name w:val="Default Paragraph Font"/>
    <w:uiPriority w:val="1"/>
    <w:semiHidden/>
    <w:unhideWhenUsed/>
    <w:qFormat/>
  </w:style>
  <w:style w:type="paragraph" w:styleId="834">
    <w:name w:val="Heading"/>
    <w:basedOn w:val="800"/>
    <w:next w:val="835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35">
    <w:name w:val="Body Text"/>
    <w:basedOn w:val="800"/>
    <w:pPr>
      <w:spacing w:before="0" w:after="140" w:line="276" w:lineRule="auto"/>
    </w:pPr>
  </w:style>
  <w:style w:type="paragraph" w:styleId="836">
    <w:name w:val="List"/>
    <w:basedOn w:val="835"/>
    <w:rPr>
      <w:rFonts w:cs="Arial"/>
    </w:rPr>
  </w:style>
  <w:style w:type="paragraph" w:styleId="837">
    <w:name w:val="Caption"/>
    <w:basedOn w:val="800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38">
    <w:name w:val="Index"/>
    <w:basedOn w:val="800"/>
    <w:qFormat/>
    <w:pPr>
      <w:suppressLineNumbers/>
    </w:pPr>
  </w:style>
  <w:style w:type="paragraph" w:styleId="839">
    <w:name w:val="List Paragraph"/>
    <w:basedOn w:val="800"/>
    <w:uiPriority w:val="34"/>
    <w:qFormat/>
    <w:pPr>
      <w:contextualSpacing/>
      <w:ind w:left="720" w:firstLine="0"/>
      <w:spacing w:before="0" w:after="0"/>
    </w:pPr>
  </w:style>
  <w:style w:type="paragraph" w:styleId="840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ejaVu Sans" w:cs="DejaVu Sans"/>
      <w:color w:val="auto"/>
      <w:sz w:val="24"/>
      <w:szCs w:val="24"/>
      <w:lang w:val="en-US" w:eastAsia="zh-CN" w:bidi="hi-IN"/>
    </w:rPr>
  </w:style>
  <w:style w:type="paragraph" w:styleId="841">
    <w:name w:val="Title"/>
    <w:basedOn w:val="80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42">
    <w:name w:val="Subtitle"/>
    <w:basedOn w:val="800"/>
    <w:uiPriority w:val="11"/>
    <w:qFormat/>
    <w:pPr>
      <w:spacing w:before="200" w:after="200"/>
    </w:pPr>
    <w:rPr>
      <w:sz w:val="24"/>
      <w:szCs w:val="24"/>
    </w:rPr>
  </w:style>
  <w:style w:type="paragraph" w:styleId="843">
    <w:name w:val="Quote"/>
    <w:basedOn w:val="800"/>
    <w:uiPriority w:val="29"/>
    <w:qFormat/>
    <w:pPr>
      <w:ind w:left="720" w:right="720" w:firstLine="0"/>
    </w:pPr>
    <w:rPr>
      <w:i/>
    </w:rPr>
  </w:style>
  <w:style w:type="paragraph" w:styleId="844">
    <w:name w:val="Intense Quote"/>
    <w:basedOn w:val="800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45">
    <w:name w:val="Header and Footer"/>
    <w:basedOn w:val="800"/>
    <w:qFormat/>
  </w:style>
  <w:style w:type="paragraph" w:styleId="846">
    <w:name w:val="Header"/>
    <w:basedOn w:val="800"/>
    <w:uiPriority w:val="99"/>
    <w:unhideWhenUsed/>
    <w:pPr>
      <w:spacing w:before="0" w:after="0" w:line="240" w:lineRule="auto"/>
      <w:tabs>
        <w:tab w:val="clear" w:pos="709" w:leader="none"/>
        <w:tab w:val="center" w:pos="7143" w:leader="none"/>
        <w:tab w:val="right" w:pos="14287" w:leader="none"/>
      </w:tabs>
    </w:pPr>
  </w:style>
  <w:style w:type="paragraph" w:styleId="847">
    <w:name w:val="Footer"/>
    <w:basedOn w:val="800"/>
    <w:uiPriority w:val="99"/>
    <w:unhideWhenUsed/>
    <w:pPr>
      <w:spacing w:before="0" w:after="0" w:line="240" w:lineRule="auto"/>
      <w:tabs>
        <w:tab w:val="clear" w:pos="709" w:leader="none"/>
        <w:tab w:val="center" w:pos="7143" w:leader="none"/>
        <w:tab w:val="right" w:pos="14287" w:leader="none"/>
      </w:tabs>
    </w:pPr>
  </w:style>
  <w:style w:type="paragraph" w:styleId="848">
    <w:name w:val="footnote text"/>
    <w:basedOn w:val="80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49">
    <w:name w:val="endnote text"/>
    <w:basedOn w:val="80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0">
    <w:name w:val="toc 1"/>
    <w:basedOn w:val="800"/>
    <w:uiPriority w:val="39"/>
    <w:unhideWhenUsed/>
    <w:pPr>
      <w:ind w:left="0" w:right="0" w:firstLine="0"/>
      <w:spacing w:before="0" w:after="57"/>
    </w:pPr>
  </w:style>
  <w:style w:type="paragraph" w:styleId="851">
    <w:name w:val="toc 2"/>
    <w:basedOn w:val="800"/>
    <w:uiPriority w:val="39"/>
    <w:unhideWhenUsed/>
    <w:pPr>
      <w:ind w:left="283" w:right="0" w:firstLine="0"/>
      <w:spacing w:before="0" w:after="57"/>
    </w:pPr>
  </w:style>
  <w:style w:type="paragraph" w:styleId="852">
    <w:name w:val="toc 3"/>
    <w:basedOn w:val="800"/>
    <w:uiPriority w:val="39"/>
    <w:unhideWhenUsed/>
    <w:pPr>
      <w:ind w:left="567" w:right="0" w:firstLine="0"/>
      <w:spacing w:before="0" w:after="57"/>
    </w:pPr>
  </w:style>
  <w:style w:type="paragraph" w:styleId="853">
    <w:name w:val="toc 4"/>
    <w:basedOn w:val="800"/>
    <w:uiPriority w:val="39"/>
    <w:unhideWhenUsed/>
    <w:pPr>
      <w:ind w:left="850" w:right="0" w:firstLine="0"/>
      <w:spacing w:before="0" w:after="57"/>
    </w:pPr>
  </w:style>
  <w:style w:type="paragraph" w:styleId="854">
    <w:name w:val="toc 5"/>
    <w:basedOn w:val="800"/>
    <w:uiPriority w:val="39"/>
    <w:unhideWhenUsed/>
    <w:pPr>
      <w:ind w:left="1134" w:right="0" w:firstLine="0"/>
      <w:spacing w:before="0" w:after="57"/>
    </w:pPr>
  </w:style>
  <w:style w:type="paragraph" w:styleId="855">
    <w:name w:val="toc 6"/>
    <w:basedOn w:val="800"/>
    <w:uiPriority w:val="39"/>
    <w:unhideWhenUsed/>
    <w:pPr>
      <w:ind w:left="1417" w:right="0" w:firstLine="0"/>
      <w:spacing w:before="0" w:after="57"/>
    </w:pPr>
  </w:style>
  <w:style w:type="paragraph" w:styleId="856">
    <w:name w:val="toc 7"/>
    <w:basedOn w:val="800"/>
    <w:uiPriority w:val="39"/>
    <w:unhideWhenUsed/>
    <w:pPr>
      <w:ind w:left="1701" w:right="0" w:firstLine="0"/>
      <w:spacing w:before="0" w:after="57"/>
    </w:pPr>
  </w:style>
  <w:style w:type="paragraph" w:styleId="857">
    <w:name w:val="toc 8"/>
    <w:basedOn w:val="800"/>
    <w:uiPriority w:val="39"/>
    <w:unhideWhenUsed/>
    <w:pPr>
      <w:ind w:left="1984" w:right="0" w:firstLine="0"/>
      <w:spacing w:before="0" w:after="57"/>
    </w:pPr>
  </w:style>
  <w:style w:type="paragraph" w:styleId="858">
    <w:name w:val="toc 9"/>
    <w:basedOn w:val="800"/>
    <w:uiPriority w:val="39"/>
    <w:unhideWhenUsed/>
    <w:pPr>
      <w:ind w:left="2268" w:right="0" w:firstLine="0"/>
      <w:spacing w:before="0" w:after="57"/>
    </w:pPr>
  </w:style>
  <w:style w:type="paragraph" w:styleId="859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ejaVu Sans" w:cs="DejaVu Sans"/>
      <w:color w:val="auto"/>
      <w:sz w:val="24"/>
      <w:szCs w:val="24"/>
      <w:lang w:val="en-US" w:eastAsia="zh-CN" w:bidi="hi-IN"/>
    </w:rPr>
  </w:style>
  <w:style w:type="paragraph" w:styleId="860">
    <w:name w:val="table of figures"/>
    <w:basedOn w:val="800"/>
    <w:uiPriority w:val="99"/>
    <w:unhideWhenUsed/>
    <w:qFormat/>
    <w:pPr>
      <w:spacing w:before="0" w:after="0" w:afterAutospacing="0"/>
    </w:pPr>
  </w:style>
  <w:style w:type="paragraph" w:styleId="861">
    <w:name w:val="Заголовок"/>
    <w:basedOn w:val="800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862">
    <w:name w:val="Название"/>
    <w:basedOn w:val="800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63">
    <w:name w:val="Указатель"/>
    <w:basedOn w:val="800"/>
    <w:qFormat/>
    <w:pPr>
      <w:suppressLineNumbers/>
    </w:pPr>
    <w:rPr>
      <w:rFonts w:cs="Arial"/>
    </w:rPr>
  </w:style>
  <w:style w:type="numbering" w:styleId="864" w:default="1">
    <w:name w:val="No List"/>
    <w:uiPriority w:val="99"/>
    <w:semiHidden/>
    <w:unhideWhenUsed/>
    <w:qFormat/>
  </w:style>
  <w:style w:type="table" w:styleId="86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hyperlink" Target="mailto:info@dime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en-US</dc:language>
  <cp:lastModifiedBy>Открытые Системы</cp:lastModifiedBy>
  <cp:revision>13</cp:revision>
  <dcterms:created xsi:type="dcterms:W3CDTF">2022-12-07T21:28:10Z</dcterms:created>
  <dcterms:modified xsi:type="dcterms:W3CDTF">2023-01-24T07:58:02Z</dcterms:modified>
</cp:coreProperties>
</file>