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ООО «Димео»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Программное обеспечение </w:t>
        <w:br/>
        <w:t xml:space="preserve">«Димео. Подписка» </w:t>
        <w:br/>
        <w:t>(</w:t>
      </w:r>
      <w:r>
        <w:rPr>
          <w:b/>
          <w:bCs/>
          <w:sz w:val="32"/>
          <w:szCs w:val="32"/>
        </w:rPr>
        <w:t>версия 1.22)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Техническая архитектура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>Москва, 2022</w:t>
      </w:r>
    </w:p>
    <w:p>
      <w:pPr>
        <w:pStyle w:val="Normal"/>
        <w:jc w:val="left"/>
        <w:rPr/>
      </w:pPr>
      <w:r>
        <w:rPr/>
        <w:t>Информационная система «Димео.Подписка» реализована по клиент-серверной архитектуре и состоит из двух независимых функциональных компонентов (</w:t>
      </w:r>
      <w:r>
        <w:rPr>
          <w:lang w:val="en-US"/>
        </w:rPr>
        <w:t>nx2-admin —</w:t>
      </w:r>
      <w:r>
        <w:rPr>
          <w:lang w:val="ru-RU"/>
        </w:rPr>
        <w:t xml:space="preserve"> «</w:t>
      </w:r>
      <w:r>
        <w:rPr>
          <w:lang w:val="en-US"/>
        </w:rPr>
        <w:t>Па</w:t>
      </w:r>
      <w:r>
        <w:rPr>
          <w:lang w:val="ru-RU"/>
        </w:rPr>
        <w:t xml:space="preserve">нель издателя» и </w:t>
      </w:r>
      <w:r>
        <w:rPr>
          <w:lang w:val="en-US"/>
        </w:rPr>
        <w:t>nx2 — «</w:t>
      </w:r>
      <w:r>
        <w:rPr>
          <w:lang w:val="ru-RU"/>
        </w:rPr>
        <w:t>Панель заказов»</w:t>
      </w:r>
      <w:r>
        <w:rPr/>
        <w:t>) и общ</w:t>
      </w:r>
      <w:r>
        <w:rPr>
          <w:lang w:val="ru-RU"/>
        </w:rPr>
        <w:t>их для них</w:t>
      </w:r>
      <w:r>
        <w:rPr/>
        <w:t xml:space="preserve"> базы данных и файлового хранилища.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ПО распространяется в виде интернет-сервиса, специальные действия по установке ПО на стороне пользователя не требуются. Для работы с интернет-сервисом требуется веб-клиент, в качестве которого может использоваться «Яндекс.Браузер» не ниже версии 17, Google Chrome не ниже версии 88 или другой браузер на основе движка Chromium. Веб-клиент не входит в состав информационной системы и изображен на схеме в информационных целях.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Подписчики взаимодействуют с информационной системой посредством </w:t>
      </w:r>
      <w:r>
        <w:rPr>
          <w:lang w:val="en-US"/>
        </w:rPr>
        <w:t>Jav</w:t>
      </w:r>
      <w:r>
        <w:rPr>
          <w:lang w:val="ru-RU"/>
        </w:rPr>
        <w:t>a</w:t>
      </w:r>
      <w:r>
        <w:rPr>
          <w:lang w:val="en-US"/>
        </w:rPr>
        <w:t>Script-</w:t>
      </w:r>
      <w:r>
        <w:rPr>
          <w:lang w:val="ru-RU"/>
        </w:rPr>
        <w:t>кода подписной формы, сформированного в «Панели издателя» и внедренного на сайт соответствующего издания.</w:t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/>
      </w:pPr>
      <w:r>
        <w:rPr>
          <w:lang w:val="ru-RU"/>
        </w:rPr>
        <w:t>Серверное приложение развертывается в виде интернет</w:t>
      </w:r>
      <w:r>
        <w:rPr>
          <w:lang w:val="en-US"/>
        </w:rPr>
        <w:t>-</w:t>
      </w:r>
      <w:r>
        <w:rPr>
          <w:lang w:val="ru-RU"/>
        </w:rPr>
        <w:t>сервиса на арендованном выделенном сервере. Минимальные требования к серверу: процессор уровня Intel Xeon E-2236, 4 ядра, оперативная память — 4 Гбайт, дисковое пространство — 400 Гбайт, Posix-совместимая ОС с версией ядра не ниже 4.9.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Компоненты реализованы в виде Docker-контейнеров, в состав которых включен</w:t>
      </w:r>
      <w:r>
        <w:rPr>
          <w:lang w:val="ru-RU"/>
        </w:rPr>
        <w:t>ы</w:t>
      </w:r>
      <w:r>
        <w:rPr/>
        <w:t xml:space="preserve"> операционная система Alpine Linux и </w:t>
      </w:r>
      <w:r>
        <w:rPr>
          <w:lang w:val="en-US"/>
        </w:rPr>
        <w:t>HTTP-</w:t>
      </w:r>
      <w:r>
        <w:rPr>
          <w:lang w:val="ru-RU"/>
        </w:rPr>
        <w:t xml:space="preserve">сервер </w:t>
      </w:r>
      <w:r>
        <w:rPr>
          <w:lang w:val="en-US"/>
        </w:rPr>
        <w:t>nginx.</w:t>
      </w:r>
    </w:p>
    <w:p>
      <w:pPr>
        <w:pStyle w:val="Normal"/>
        <w:jc w:val="left"/>
        <w:rPr/>
      </w:pPr>
      <w:r>
        <w:rPr>
          <w:lang w:val="en-US"/>
        </w:rPr>
        <w:t xml:space="preserve">nginx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>отвечает за</w:t>
      </w:r>
      <w:r>
        <w:rPr>
          <w:lang w:val="en-US"/>
        </w:rPr>
        <w:t xml:space="preserve"> обслуживание запросов к физически существующим файлам и передает обработку запросов в php-fpm в остальных случаях.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В качестве общей базы данных используется реляционная СУБД Oracle MySQL (Community Edition).</w:t>
      </w:r>
    </w:p>
    <w:p>
      <w:pPr>
        <w:pStyle w:val="Normal"/>
        <w:jc w:val="left"/>
        <w:rPr/>
      </w:pPr>
      <w:r>
        <w:rPr>
          <w:lang w:val="ru-RU"/>
        </w:rPr>
        <w:t xml:space="preserve">«Панель издателя» реализована на языках программирования </w:t>
      </w:r>
      <w:r>
        <w:rPr>
          <w:lang w:val="en-US"/>
        </w:rPr>
        <w:t xml:space="preserve">PHP </w:t>
      </w:r>
      <w:r>
        <w:rPr>
          <w:lang w:val="ru-RU"/>
        </w:rPr>
        <w:t xml:space="preserve">и </w:t>
      </w:r>
      <w:r>
        <w:rPr>
          <w:lang w:val="en-US"/>
        </w:rPr>
        <w:t xml:space="preserve">JavaScript </w:t>
      </w:r>
      <w:r>
        <w:rPr>
          <w:lang w:val="ru-RU"/>
        </w:rPr>
        <w:t>с использованием фреймворка</w:t>
      </w:r>
      <w:r>
        <w:rPr/>
        <w:t xml:space="preserve"> Yii2.</w:t>
      </w:r>
    </w:p>
    <w:p>
      <w:pPr>
        <w:pStyle w:val="Normal"/>
        <w:jc w:val="left"/>
        <w:rPr/>
      </w:pPr>
      <w:r>
        <w:rPr>
          <w:lang w:val="ru-RU"/>
        </w:rPr>
        <w:t xml:space="preserve">«Панель заказов» реализована на языках программирования </w:t>
      </w:r>
      <w:r>
        <w:rPr>
          <w:lang w:val="en-US"/>
        </w:rPr>
        <w:t xml:space="preserve">PHP </w:t>
      </w:r>
      <w:r>
        <w:rPr>
          <w:lang w:val="ru-RU"/>
        </w:rPr>
        <w:t xml:space="preserve">и </w:t>
      </w:r>
      <w:r>
        <w:rPr>
          <w:lang w:val="en-US"/>
        </w:rPr>
        <w:t xml:space="preserve">JavaScript </w:t>
      </w:r>
      <w:r>
        <w:rPr>
          <w:lang w:val="ru-RU"/>
        </w:rPr>
        <w:t xml:space="preserve">с использованием фреймворков </w:t>
      </w:r>
      <w:r>
        <w:rPr/>
        <w:t xml:space="preserve">Zend Framework, </w:t>
      </w:r>
      <w:r>
        <w:rPr>
          <w:lang w:val="en-US"/>
        </w:rPr>
        <w:t xml:space="preserve">ExtJS </w:t>
      </w:r>
      <w:r>
        <w:rPr>
          <w:lang w:val="ru-RU"/>
        </w:rPr>
        <w:t xml:space="preserve">и библиотеки </w:t>
      </w:r>
      <w:r>
        <w:rPr>
          <w:lang w:val="en-US"/>
        </w:rPr>
        <w:t>jQuery.</w:t>
      </w:r>
    </w:p>
    <w:p>
      <w:pPr>
        <w:pStyle w:val="Normal"/>
        <w:jc w:val="left"/>
        <w:rPr/>
      </w:pPr>
      <w:r>
        <w:rPr/>
      </w:r>
    </w:p>
    <w:p>
      <w:pPr>
        <w:pStyle w:val="Normal"/>
        <w:pBdr/>
        <w:spacing w:lineRule="atLeast" w:line="57" w:before="240" w:after="0"/>
        <w:ind w:left="0" w:right="0" w:hanging="0"/>
        <w:rPr/>
      </w:pPr>
      <w:r>
        <w:rPr/>
        <w:t xml:space="preserve">При разработке ПО правомерно использованы сторонние компоненты, распространяемые на условиях открытых лицензий, что позволяет получить исключительные права на ПО, использующее их в своем составе. Использованные сторонние компоненты не устанавливают ограничений, препятствующих использованию ПО на территории Российской Федерации или </w:t>
      </w:r>
      <w:r>
        <w:rPr>
          <w:lang w:val="ru-RU"/>
        </w:rPr>
        <w:t xml:space="preserve">ее </w:t>
      </w:r>
      <w:r>
        <w:rPr/>
        <w:t>отдельных субъектов. В свою очередь ПО «Димео.Подписка» доступно</w:t>
      </w:r>
      <w:r>
        <w:rPr>
          <w:lang w:val="ru-RU"/>
        </w:rPr>
        <w:t xml:space="preserve"> на условиях открытой лицензии GNU Public License 3.0 (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см. репозиторий </w:t>
      </w:r>
      <w:hyperlink r:id="rId4" w:tgtFrame="https://gitlab.com/nx-2).">
        <w:r>
          <w:rPr>
            <w:rStyle w:val="InternetLink"/>
            <w:rFonts w:eastAsia="Times New Roman" w:cs="Times New Roman" w:ascii="Times New Roman" w:hAnsi="Times New Roman"/>
            <w:sz w:val="24"/>
          </w:rPr>
          <w:t>https://gitlab.com/nx-2).</w:t>
        </w:r>
      </w:hyperlink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</w:p>
    <w:p>
      <w:pPr>
        <w:pStyle w:val="Normal"/>
        <w:jc w:val="left"/>
        <w:rPr/>
      </w:pPr>
      <w:r>
        <w:rPr>
          <w:lang w:val="ru-RU"/>
        </w:rPr>
        <w:t>.</w:t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85790" cy="639953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639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hd w:val="nil" w:color="auto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jc w:val="left"/>
        <w:rPr>
          <w:b/>
          <w:b/>
          <w:bCs/>
          <w:highlight w:val="none"/>
          <w:lang w:val="ru-RU"/>
        </w:rPr>
      </w:pPr>
      <w:r>
        <w:rPr>
          <w:b/>
          <w:bCs/>
          <w:lang w:val="ru-RU"/>
        </w:rPr>
        <w:t>Состав основных модулей компонента «Панель издателя»</w:t>
      </w:r>
    </w:p>
    <w:p>
      <w:pPr>
        <w:pStyle w:val="Normal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964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023"/>
        <w:gridCol w:w="6624"/>
      </w:tblGrid>
      <w:tr>
        <w:trPr>
          <w:cantSplit w:val="true"/>
        </w:trPr>
        <w:tc>
          <w:tcPr>
            <w:tcW w:w="3023" w:type="dxa"/>
            <w:tcBorders>
              <w:top w:val="single" w:sz="8" w:space="0" w:color="B2B2B2"/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«Издатели»</w:t>
            </w:r>
            <w:r>
              <w:rPr>
                <w:lang w:val="ru-RU"/>
              </w:rPr>
              <w:tab/>
            </w:r>
          </w:p>
        </w:tc>
        <w:tc>
          <w:tcPr>
            <w:tcW w:w="6624" w:type="dxa"/>
            <w:tcBorders>
              <w:top w:val="single" w:sz="8" w:space="0" w:color="B2B2B2"/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>Позволяет вносить и редактировать общую информацию о компаниях-издателях и контактных лицах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«Пользователи»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>Позволяет регистрировать сотрудников компаний-издателей, допущенных к работе с информационной системой, и управлять информацией о них, назначая им различные роли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«Издания»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>Позволяет управлять основной информацией о подписных изданиях, включая периодичность и способ доставки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«Выпуски»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>Позволяет управлять информацией об отдельных выпусках изданий, включая график выхода и статус выпуска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«Цены»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>Позволяет задавать прайс-листы на издания с учетом различных способов доставки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«Акции»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>Позволяет управлять информацией об акциях, промокодах и спецпредложениях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«Шаблоны писем»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>Позволяет создавать и редактировать шаблоны писем для уведомления подписчиков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«Подписная форма»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 xml:space="preserve">Позволяет настраивать подписные формы, внедряемые в виде </w:t>
            </w:r>
            <w:r>
              <w:rPr>
                <w:lang w:val="en-US"/>
              </w:rPr>
              <w:t>JavaScript-</w:t>
            </w:r>
            <w:r>
              <w:rPr>
                <w:lang w:val="ru-RU"/>
              </w:rPr>
              <w:t>кода на сайты изданий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«Платежные системы»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>Позволяет управлять настройками систем онлайн-платежей, доступных подписчикам издателя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«Справочники»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>Позволяет работать со справочниками юридических и физических лиц, адресов, стран, регионов, «известных» информационной системе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i/>
                <w:iCs/>
                <w:lang w:val="ru-RU"/>
              </w:rPr>
              <w:t>Модуль «Роли»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lang w:val="ru-RU"/>
              </w:rPr>
              <w:t>Позволяет управлять набором ролей пользователей информационной системы</w:t>
            </w:r>
          </w:p>
        </w:tc>
      </w:tr>
      <w:tr>
        <w:trPr>
          <w:cantSplit w:val="true"/>
        </w:trPr>
        <w:tc>
          <w:tcPr>
            <w:tcW w:w="3023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jc w:val="left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Модуль «Настройки»</w:t>
            </w:r>
          </w:p>
        </w:tc>
        <w:tc>
          <w:tcPr>
            <w:tcW w:w="6624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jc w:val="left"/>
              <w:rPr>
                <w:lang w:val="ru-RU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</w:rPr>
              <w:t>Содержит информацию для дополнительных настроек и интеграций</w:t>
            </w:r>
          </w:p>
        </w:tc>
      </w:tr>
    </w:tbl>
    <w:p>
      <w:pPr>
        <w:pStyle w:val="Normal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hd w:val="nil" w:color="auto"/>
        <w:rPr>
          <w:b/>
          <w:b/>
          <w:bCs/>
          <w:lang w:val="ru-RU"/>
        </w:rPr>
      </w:pPr>
      <w:r>
        <w:rPr>
          <w:b/>
          <w:bCs/>
          <w:lang w:val="ru-RU"/>
        </w:rPr>
      </w:r>
      <w:r>
        <w:br w:type="page"/>
      </w:r>
    </w:p>
    <w:p>
      <w:pPr>
        <w:pStyle w:val="Normal"/>
        <w:jc w:val="left"/>
        <w:rPr>
          <w:b/>
          <w:b/>
          <w:bCs/>
          <w:highlight w:val="none"/>
          <w:lang w:val="ru-RU"/>
        </w:rPr>
      </w:pPr>
      <w:r>
        <w:rPr>
          <w:b/>
          <w:bCs/>
          <w:lang w:val="ru-RU"/>
        </w:rPr>
        <w:t>Состав основных модулей компонента «Панель заказов»</w:t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tbl>
      <w:tblPr>
        <w:tblW w:w="964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455"/>
        <w:gridCol w:w="6192"/>
      </w:tblGrid>
      <w:tr>
        <w:trPr>
          <w:cantSplit w:val="true"/>
        </w:trPr>
        <w:tc>
          <w:tcPr>
            <w:tcW w:w="3455" w:type="dxa"/>
            <w:tcBorders>
              <w:top w:val="single" w:sz="8" w:space="0" w:color="B2B2B2"/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/>
            </w:pPr>
            <w:r>
              <w:rPr>
                <w:lang w:val="ru-RU"/>
              </w:rPr>
              <w:t>Модуль «Заказы»</w:t>
            </w:r>
          </w:p>
        </w:tc>
        <w:tc>
          <w:tcPr>
            <w:tcW w:w="6192" w:type="dxa"/>
            <w:tcBorders>
              <w:top w:val="single" w:sz="8" w:space="0" w:color="B2B2B2"/>
              <w:bottom w:val="single" w:sz="8" w:space="0" w:color="B2B2B2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>Позволяет управлять обработкой заказов, поступивших из подписных форм или созданных вручную</w:t>
            </w:r>
          </w:p>
        </w:tc>
      </w:tr>
      <w:tr>
        <w:trPr>
          <w:cantSplit w:val="true"/>
        </w:trPr>
        <w:tc>
          <w:tcPr>
            <w:tcW w:w="3455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/>
            </w:pPr>
            <w:r>
              <w:rPr>
                <w:lang w:val="ru-RU"/>
              </w:rPr>
              <w:t>Модуль «Отгрузки»</w:t>
            </w:r>
          </w:p>
        </w:tc>
        <w:tc>
          <w:tcPr>
            <w:tcW w:w="6192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>Позволяет управлять отправками подписчикам выпусков печатных и цифровых изданий по всем каналам распространения, используемым издателем</w:t>
            </w:r>
          </w:p>
        </w:tc>
      </w:tr>
      <w:tr>
        <w:trPr>
          <w:cantSplit w:val="true"/>
        </w:trPr>
        <w:tc>
          <w:tcPr>
            <w:tcW w:w="3455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/>
            </w:pPr>
            <w:r>
              <w:rPr>
                <w:lang w:val="ru-RU"/>
              </w:rPr>
              <w:t>Модуль «Продажи журналов»</w:t>
            </w:r>
          </w:p>
        </w:tc>
        <w:tc>
          <w:tcPr>
            <w:tcW w:w="6192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>Позволяет управлять продажами отдельных выпусков цифровых изданий</w:t>
            </w:r>
          </w:p>
        </w:tc>
      </w:tr>
      <w:tr>
        <w:trPr>
          <w:cantSplit w:val="true"/>
        </w:trPr>
        <w:tc>
          <w:tcPr>
            <w:tcW w:w="3455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/>
            </w:pPr>
            <w:r>
              <w:rPr>
                <w:lang w:val="ru-RU"/>
              </w:rPr>
              <w:t>Модуль «Транзакции»</w:t>
            </w:r>
          </w:p>
        </w:tc>
        <w:tc>
          <w:tcPr>
            <w:tcW w:w="6192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val="ru-RU"/>
              </w:rPr>
              <w:t>Содержит информацию о попытках онлайн-платежей</w:t>
            </w:r>
          </w:p>
        </w:tc>
      </w:tr>
      <w:tr>
        <w:trPr>
          <w:cantSplit w:val="true"/>
        </w:trPr>
        <w:tc>
          <w:tcPr>
            <w:tcW w:w="3455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Модуль «1С»</w:t>
            </w:r>
          </w:p>
        </w:tc>
        <w:tc>
          <w:tcPr>
            <w:tcW w:w="6192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Реализует основной интерфейс для взаимодействия с бухгалтерской системой</w:t>
            </w:r>
          </w:p>
        </w:tc>
      </w:tr>
      <w:tr>
        <w:trPr>
          <w:cantSplit w:val="true"/>
        </w:trPr>
        <w:tc>
          <w:tcPr>
            <w:tcW w:w="3455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Модуль «Администрирование»</w:t>
            </w:r>
          </w:p>
        </w:tc>
        <w:tc>
          <w:tcPr>
            <w:tcW w:w="6192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Позволяет контролировать действия пользователей системы, работать с журналом отправки электронных писем и просматривать сообщения о важных событиях и системных ошибках</w:t>
            </w:r>
          </w:p>
        </w:tc>
      </w:tr>
    </w:tbl>
    <w:p>
      <w:pPr>
        <w:pStyle w:val="Normal"/>
        <w:spacing w:lineRule="atLeast" w:line="57" w:before="240" w:after="0"/>
        <w:ind w:left="0" w:right="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tLeast" w:line="57" w:before="24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Служебные утилиты</w:t>
      </w:r>
    </w:p>
    <w:p>
      <w:pPr>
        <w:pStyle w:val="Normal"/>
        <w:pBdr/>
        <w:spacing w:lineRule="atLeast" w:line="57" w:before="240" w:after="0"/>
        <w:ind w:left="0" w:right="0" w:hanging="0"/>
        <w:rPr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В состав информационной системы входит также ряд утилит, реализованных как консольные команды. Они используются техническим персоналом и служат для первоначальной настройки сервиса, устранения возможных неполадок в процессе его эксплуатации, а также могут  периодически запускаться на выполнение для обеспечения устойчивого функционирования (подробнее о назначении и деталях использования см. в </w:t>
      </w:r>
      <w:hyperlink r:id="rId6" w:tgtFrame="https://gitlab.com/nx-2/admin/-/blob/master/console/README.md">
        <w:r>
          <w:rPr>
            <w:rStyle w:val="InternetLink"/>
            <w:rFonts w:eastAsia="Times New Roman" w:cs="Times New Roman" w:ascii="Times New Roman" w:hAnsi="Times New Roman"/>
            <w:color w:val="000080"/>
            <w:sz w:val="24"/>
            <w:u w:val="single"/>
          </w:rPr>
          <w:t>https://gitlab.com/nx-2/admin/-/blob/master/console/README.md</w:t>
        </w:r>
      </w:hyperlink>
      <w:r>
        <w:rPr>
          <w:rFonts w:eastAsia="Times New Roman" w:cs="Times New Roman" w:ascii="Times New Roman" w:hAnsi="Times New Roman"/>
          <w:color w:val="000000"/>
          <w:sz w:val="24"/>
        </w:rPr>
        <w:t>).</w:t>
      </w:r>
    </w:p>
    <w:p>
      <w:pPr>
        <w:pStyle w:val="Normal"/>
        <w:pBdr/>
        <w:spacing w:lineRule="atLeast" w:line="57" w:before="24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64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542"/>
        <w:gridCol w:w="6105"/>
      </w:tblGrid>
      <w:tr>
        <w:trPr>
          <w:cantSplit w:val="true"/>
        </w:trPr>
        <w:tc>
          <w:tcPr>
            <w:tcW w:w="3542" w:type="dxa"/>
            <w:tcBorders>
              <w:top w:val="single" w:sz="8" w:space="0" w:color="B2B2B2"/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issue/create-pdf-logs-for-all-issues</w:t>
            </w:r>
          </w:p>
        </w:tc>
        <w:tc>
          <w:tcPr>
            <w:tcW w:w="6105" w:type="dxa"/>
            <w:tcBorders>
              <w:top w:val="single" w:sz="8" w:space="0" w:color="B2B2B2"/>
              <w:bottom w:val="single" w:sz="8" w:space="0" w:color="B2B2B2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Первоначальное заполнение данными лога отправки PDF</w:t>
            </w:r>
          </w:p>
        </w:tc>
      </w:tr>
      <w:tr>
        <w:trPr>
          <w:cantSplit w:val="true"/>
        </w:trPr>
        <w:tc>
          <w:tcPr>
            <w:tcW w:w="3542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issue/get-url-for-pdf</w:t>
            </w:r>
          </w:p>
        </w:tc>
        <w:tc>
          <w:tcPr>
            <w:tcW w:w="6105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Вычисление ссылки на скачивание PDF-файла</w:t>
            </w:r>
          </w:p>
        </w:tc>
      </w:tr>
      <w:tr>
        <w:trPr>
          <w:cantSplit w:val="true"/>
        </w:trPr>
        <w:tc>
          <w:tcPr>
            <w:tcW w:w="3542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issue/send-not-shipped-pdf</w:t>
            </w:r>
          </w:p>
        </w:tc>
        <w:tc>
          <w:tcPr>
            <w:tcW w:w="6105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Отправка ранее неотправленных писем со ссылками на скачивание PDF</w:t>
            </w:r>
          </w:p>
        </w:tc>
      </w:tr>
      <w:tr>
        <w:trPr>
          <w:cantSplit w:val="true"/>
        </w:trPr>
        <w:tc>
          <w:tcPr>
            <w:tcW w:w="3542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pay/yandex-kassa-api-retreive</w:t>
            </w:r>
          </w:p>
        </w:tc>
        <w:tc>
          <w:tcPr>
            <w:tcW w:w="6105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Обновление статусов платежей YooKassa</w:t>
            </w:r>
          </w:p>
        </w:tc>
      </w:tr>
      <w:tr>
        <w:trPr>
          <w:cantSplit w:val="true"/>
        </w:trPr>
        <w:tc>
          <w:tcPr>
            <w:tcW w:w="3542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queue/listen</w:t>
            </w:r>
          </w:p>
        </w:tc>
        <w:tc>
          <w:tcPr>
            <w:tcW w:w="6105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Запуск демона, ожидающего поступления в очередь заданий на выполнение и немедленно их выполняющего; команда, отвечающая за исполнение множества функций, реализованных в виде отложенного (асинхронного) выполнения</w:t>
            </w:r>
          </w:p>
        </w:tc>
      </w:tr>
      <w:tr>
        <w:trPr>
          <w:cantSplit w:val="true"/>
        </w:trPr>
        <w:tc>
          <w:tcPr>
            <w:tcW w:w="3542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rbac/create</w:t>
            </w:r>
          </w:p>
        </w:tc>
        <w:tc>
          <w:tcPr>
            <w:tcW w:w="6105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Первоначальное формирование файлов, необходимых для управления доступом на основе ролей (RBAC)</w:t>
            </w:r>
          </w:p>
        </w:tc>
      </w:tr>
      <w:tr>
        <w:trPr>
          <w:trHeight w:val="689" w:hRule="atLeast"/>
          <w:cantSplit w:val="true"/>
        </w:trPr>
        <w:tc>
          <w:tcPr>
            <w:tcW w:w="3542" w:type="dxa"/>
            <w:tcBorders>
              <w:bottom w:val="single" w:sz="8" w:space="0" w:color="B2B2B2"/>
            </w:tcBorders>
          </w:tcPr>
          <w:p>
            <w:pPr>
              <w:pStyle w:val="Normal"/>
              <w:keepNext w:val="true"/>
              <w:widowControl w:val="false"/>
              <w:rPr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rbac/reassign-users</w:t>
            </w:r>
          </w:p>
        </w:tc>
        <w:tc>
          <w:tcPr>
            <w:tcW w:w="6105" w:type="dxa"/>
            <w:tcBorders>
              <w:bottom w:val="single" w:sz="8" w:space="0" w:color="B2B2B2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Переназначение ранее зарегистрированным пользователям соответствующих им ролей</w:t>
            </w:r>
          </w:p>
        </w:tc>
      </w:tr>
    </w:tbl>
    <w:p>
      <w:pPr>
        <w:pStyle w:val="Normal"/>
        <w:shd w:val="ni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lang w:val="ru-RU"/>
        </w:rPr>
        <w:t>***</w:t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/>
      </w:pPr>
      <w:r>
        <w:rPr>
          <w:lang w:val="ru-RU"/>
        </w:rPr>
        <w:t xml:space="preserve">Дополнительные сведения о программном обеспечении «Димео.Подписка 1.22» можно найти на сайте </w:t>
      </w:r>
      <w:r>
        <w:rPr>
          <w:lang w:val="en-US"/>
        </w:rPr>
        <w:t>dimeo.ru.</w:t>
      </w:r>
    </w:p>
    <w:p>
      <w:pPr>
        <w:pStyle w:val="Normal"/>
        <w:jc w:val="left"/>
        <w:rPr/>
      </w:pPr>
      <w:r>
        <w:rPr>
          <w:lang w:val="ru-RU"/>
        </w:rPr>
        <w:t xml:space="preserve">По вопросам приобретения, использования, эксплуатации и модернизации ПО «Димео.Подписка» обращайтесь: </w:t>
      </w:r>
      <w:hyperlink r:id="rId7" w:tgtFrame="mailto:info@dimeo.ru">
        <w:r>
          <w:rPr>
            <w:rStyle w:val="InternetLink"/>
            <w:lang w:val="en-US"/>
          </w:rPr>
          <w:t>info@dimeo.ru</w:t>
        </w:r>
      </w:hyperlink>
      <w:r>
        <w:rPr>
          <w:lang w:val="en-US"/>
        </w:rPr>
        <w:t>, 8 (499) 350-0047.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lang w:val="ru-RU"/>
        </w:rPr>
        <w:t>***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2017-2022 ООО «Димео», </w:t>
      </w:r>
      <w:r>
        <w:rPr>
          <w:lang w:val="en-US"/>
        </w:rPr>
        <w:t>CC BY-SA 4.0</w:t>
      </w:r>
    </w:p>
    <w:p>
      <w:pPr>
        <w:pStyle w:val="Normal"/>
        <w:jc w:val="left"/>
        <w:rPr>
          <w:lang w:val="ru-RU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4" w:right="1134" w:gutter="0" w:header="0" w:top="720" w:footer="0" w:bottom="113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ru-RU" w:eastAsia="zh-CN" w:bidi="hi-IN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5">
    <w:name w:val="Заголовок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6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7">
    <w:name w:val="Указатель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682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85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86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87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88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6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7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8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9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0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1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2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3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4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5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7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8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9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0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12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13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14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15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1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71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72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72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72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72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724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72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72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72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72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72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3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31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3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3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3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3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3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3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38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46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47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48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49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50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51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52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3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4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5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6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7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8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9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0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1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2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3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4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5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6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6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6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6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7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7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7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73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7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7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7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7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7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80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8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8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8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8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8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8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8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78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78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79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79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79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79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79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79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79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79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79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79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80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801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02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04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05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06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07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77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gitlab.com/nx-2).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gitlab.com/nx-2/admin/-/blob/master/console/README.md" TargetMode="External"/><Relationship Id="rId7" Type="http://schemas.openxmlformats.org/officeDocument/2006/relationships/hyperlink" Target="mailto:info@dimeo.ru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6</Pages>
  <Words>699</Words>
  <Characters>5324</Characters>
  <CharactersWithSpaces>5958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2022-12-06T10:18:59Z</dcterms:created>
  <dc:creator/>
  <dc:description/>
  <dc:language>en-US</dc:language>
  <cp:lastModifiedBy/>
  <dcterms:modified xsi:type="dcterms:W3CDTF">2023-02-21T11:22:21Z</dcterms:modified>
  <cp:revision>21</cp:revision>
  <dc:subject/>
  <dc:title/>
</cp:coreProperties>
</file>